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国际教育学院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autoSpaceDE w:val="0"/>
        <w:autoSpaceDN w:val="0"/>
        <w:adjustRightInd w:val="0"/>
        <w:spacing w:line="276" w:lineRule="auto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before="240" w:beforeLines="100" w:after="120" w:after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本科生占全日制在校生总数的比例</w:t>
      </w:r>
    </w:p>
    <w:p>
      <w:pPr>
        <w:autoSpaceDE w:val="0"/>
        <w:autoSpaceDN w:val="0"/>
        <w:adjustRightInd w:val="0"/>
        <w:spacing w:before="120" w:beforeLines="5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1.各类学生整体情况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（教务处牵头、研究生处、国际教育学院配合）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927"/>
        <w:gridCol w:w="942"/>
        <w:gridCol w:w="906"/>
        <w:gridCol w:w="911"/>
        <w:gridCol w:w="914"/>
        <w:gridCol w:w="911"/>
        <w:gridCol w:w="914"/>
        <w:gridCol w:w="911"/>
        <w:gridCol w:w="911"/>
        <w:gridCol w:w="911"/>
        <w:gridCol w:w="911"/>
        <w:gridCol w:w="914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本科生数</w:t>
            </w:r>
          </w:p>
        </w:tc>
        <w:tc>
          <w:tcPr>
            <w:tcW w:w="35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普通（高职）专科生数</w:t>
            </w:r>
          </w:p>
        </w:tc>
        <w:tc>
          <w:tcPr>
            <w:tcW w:w="70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硕士研究生数（含留学生）</w:t>
            </w:r>
          </w:p>
        </w:tc>
        <w:tc>
          <w:tcPr>
            <w:tcW w:w="70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博士研究生（含留学生）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预科阶段学生数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进修生数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函授生数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全日制在校生数</w:t>
            </w:r>
          </w:p>
        </w:tc>
        <w:tc>
          <w:tcPr>
            <w:tcW w:w="353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折合在校生数</w:t>
            </w:r>
          </w:p>
        </w:tc>
        <w:tc>
          <w:tcPr>
            <w:tcW w:w="396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本科生占全日制在校生总数的比例（%）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普通本科生数</w:t>
            </w:r>
          </w:p>
        </w:tc>
        <w:tc>
          <w:tcPr>
            <w:tcW w:w="35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留学生数</w:t>
            </w:r>
          </w:p>
        </w:tc>
        <w:tc>
          <w:tcPr>
            <w:tcW w:w="36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已转段预科生数</w:t>
            </w:r>
          </w:p>
        </w:tc>
        <w:tc>
          <w:tcPr>
            <w:tcW w:w="350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非全日制</w:t>
            </w: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非全日制</w:t>
            </w: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3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96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5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9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注：各类学生统计时间截点与基本状态数据采集一致。</w:t>
      </w:r>
    </w:p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default" w:ascii="宋体" w:eastAsia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2.留学生情况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（国际教育学院）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3"/>
        <w:gridCol w:w="3233"/>
        <w:gridCol w:w="3234"/>
        <w:gridCol w:w="3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4" w:type="dxa"/>
            <w:gridSpan w:val="4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留学生数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总计</w:t>
            </w:r>
          </w:p>
        </w:tc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本科生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硕士研究生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line="320" w:lineRule="exact"/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</w:pPr>
      <w:r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  <w:t>附件3-4</w:t>
      </w:r>
    </w:p>
    <w:p>
      <w:pPr>
        <w:autoSpaceDE w:val="0"/>
        <w:autoSpaceDN w:val="0"/>
        <w:adjustRightInd w:val="0"/>
        <w:spacing w:after="120" w:afterLines="50" w:line="320" w:lineRule="exact"/>
        <w:jc w:val="center"/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</w:pPr>
      <w:r>
        <w:rPr>
          <w:rFonts w:hint="eastAsia" w:ascii="宋体" w:cs="Calibri"/>
          <w:color w:val="auto"/>
          <w:kern w:val="0"/>
          <w:sz w:val="32"/>
          <w:szCs w:val="32"/>
          <w:highlight w:val="none"/>
          <w:u w:val="single"/>
        </w:rPr>
        <w:t xml:space="preserve">             </w:t>
      </w:r>
      <w:r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  <w:t>大学（学院）学科建设情况汇总表</w:t>
      </w:r>
    </w:p>
    <w:tbl>
      <w:tblPr>
        <w:tblStyle w:val="3"/>
        <w:tblpPr w:leftFromText="180" w:rightFromText="180" w:vertAnchor="text" w:horzAnchor="page" w:tblpX="1690" w:tblpY="2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813"/>
        <w:gridCol w:w="813"/>
        <w:gridCol w:w="818"/>
        <w:gridCol w:w="552"/>
        <w:gridCol w:w="1026"/>
        <w:gridCol w:w="1133"/>
        <w:gridCol w:w="1133"/>
        <w:gridCol w:w="836"/>
        <w:gridCol w:w="529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分类</w:t>
            </w:r>
          </w:p>
        </w:tc>
        <w:tc>
          <w:tcPr>
            <w:tcW w:w="244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  <w:tc>
          <w:tcPr>
            <w:tcW w:w="310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  <w:tc>
          <w:tcPr>
            <w:tcW w:w="310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教师队伍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两院院士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长江学者、国家杰青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新世纪“百千万人才工程”国家级人选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国家级优秀教师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引进海外高层次人才“千人计划”人选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草原英才”工程人选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五一劳动奖章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自治区“新世纪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>321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人才工程”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享受国务院特殊津贴者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自治区有突出贡献的中青年专家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“草原英才”工程产业创新人才团队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内蒙古杰出人才奖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教育部创新团队、国家自然科学基金委创新研究群体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科学研究（近三年）</w:t>
            </w: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6"/>
                <w:szCs w:val="16"/>
                <w:highlight w:val="none"/>
                <w:lang w:val="zh-CN"/>
              </w:rPr>
              <w:t>国家自然科学奖、技术发明奖、科技进步奖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5"/>
                <w:szCs w:val="15"/>
                <w:highlight w:val="none"/>
                <w:lang w:val="zh-CN"/>
              </w:rPr>
              <w:t>省级自然科学奖、技科技进步奖、哲学社会科学优秀成果政府奖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专利（著作权）授权数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科研成果转化数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出版专著数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主编教材数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学科情况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国家一流学科数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自治区一流建设学科数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国家重点实验室数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省部级重点实验室数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博士授权学科</w:t>
            </w: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一级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硕士授权学科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一级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二级A(已有一级学科所包含的二级学科)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二级A(已有一级学科所包含的二级学科)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二级B(不含已有一级学科所包含的二级学科)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二级B(不含已有一级学科所包含的二级学科)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专业学位授权领域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博士后流动站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专业学位授权类别数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对外交流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境外交流学习或联合培养国家（地区）数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境外交流学习或联合培养学校（机构）数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近三年全日制境外交流学习或联合培养的人数（一个学期及以上）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近三年接收境外本科学生人数（一个学期及以上）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leftChars="-86" w:right="-535" w:rightChars="-255" w:hanging="181" w:hangingChars="100"/>
        <w:rPr>
          <w:color w:val="auto"/>
          <w:highlight w:val="none"/>
        </w:rPr>
      </w:pPr>
      <w:r>
        <w:rPr>
          <w:rFonts w:hint="eastAsia" w:ascii="仿宋_GB2312" w:eastAsia="仿宋_GB2312" w:cs="宋体"/>
          <w:b/>
          <w:color w:val="auto"/>
          <w:kern w:val="0"/>
          <w:sz w:val="18"/>
          <w:szCs w:val="18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凡标注“近三年”的项目，统计时间为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7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日—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日。请直接填写具体数字，不用填写计量单位。</w:t>
      </w:r>
    </w:p>
    <w:p/>
    <w:sectPr>
      <w:pgSz w:w="15840" w:h="12240" w:orient="landscape"/>
      <w:pgMar w:top="1701" w:right="1701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F2D9"/>
    <w:multiLevelType w:val="singleLevel"/>
    <w:tmpl w:val="546EF2D9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070CE"/>
    <w:rsid w:val="285E5DA3"/>
    <w:rsid w:val="3AAB257D"/>
    <w:rsid w:val="5F784D70"/>
    <w:rsid w:val="6CF8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